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46C2" w:rsidRPr="00A81982" w:rsidRDefault="00E04794">
      <w:pPr>
        <w:pStyle w:val="normal0"/>
        <w:jc w:val="center"/>
        <w:rPr>
          <w:b/>
        </w:rPr>
      </w:pPr>
      <w:r>
        <w:rPr>
          <w:rFonts w:ascii="Calibri" w:eastAsia="Calibri" w:hAnsi="Calibri" w:cs="Calibri"/>
          <w:b/>
        </w:rPr>
        <w:t xml:space="preserve">TEMPLATE: </w:t>
      </w:r>
      <w:r w:rsidR="00AC7F01" w:rsidRPr="00A81982">
        <w:rPr>
          <w:rFonts w:ascii="Calibri" w:eastAsia="Calibri" w:hAnsi="Calibri" w:cs="Calibri"/>
          <w:b/>
        </w:rPr>
        <w:t xml:space="preserve">Submission to </w:t>
      </w:r>
      <w:r w:rsidR="00641571" w:rsidRPr="00A81982">
        <w:rPr>
          <w:rFonts w:ascii="Calibri" w:eastAsia="Calibri" w:hAnsi="Calibri" w:cs="Calibri"/>
          <w:b/>
        </w:rPr>
        <w:t>7</w:t>
      </w:r>
      <w:r w:rsidR="00641571" w:rsidRPr="00A81982">
        <w:rPr>
          <w:rFonts w:ascii="Calibri" w:eastAsia="Calibri" w:hAnsi="Calibri" w:cs="Calibri"/>
          <w:b/>
          <w:vertAlign w:val="superscript"/>
        </w:rPr>
        <w:t>th</w:t>
      </w:r>
      <w:r w:rsidR="00641571" w:rsidRPr="00A81982">
        <w:rPr>
          <w:rFonts w:ascii="Calibri" w:eastAsia="Calibri" w:hAnsi="Calibri" w:cs="Calibri"/>
          <w:b/>
        </w:rPr>
        <w:t xml:space="preserve"> </w:t>
      </w:r>
      <w:r w:rsidR="00094EB0" w:rsidRPr="00A81982">
        <w:rPr>
          <w:rFonts w:ascii="Calibri" w:eastAsia="Calibri" w:hAnsi="Calibri" w:cs="Calibri"/>
          <w:b/>
        </w:rPr>
        <w:t xml:space="preserve">BRICS </w:t>
      </w:r>
      <w:r w:rsidR="00641571" w:rsidRPr="00A81982">
        <w:rPr>
          <w:rFonts w:ascii="Calibri" w:eastAsia="Calibri" w:hAnsi="Calibri" w:cs="Calibri"/>
          <w:b/>
        </w:rPr>
        <w:t>Summit</w:t>
      </w:r>
      <w:r w:rsidR="00641571" w:rsidRPr="00A81982">
        <w:rPr>
          <w:rFonts w:ascii="Calibri" w:eastAsia="Calibri" w:hAnsi="Calibri" w:cs="Calibri"/>
          <w:b/>
        </w:rPr>
        <w:br/>
        <w:t xml:space="preserve"> Ufa, Russia </w:t>
      </w:r>
      <w:r w:rsidR="00B15D0A">
        <w:rPr>
          <w:rFonts w:ascii="Calibri" w:eastAsia="Calibri" w:hAnsi="Calibri" w:cs="Calibri"/>
          <w:b/>
        </w:rPr>
        <w:t xml:space="preserve">8-9 July </w:t>
      </w:r>
      <w:r w:rsidR="00094EB0" w:rsidRPr="00A81982">
        <w:rPr>
          <w:rFonts w:ascii="Calibri" w:eastAsia="Calibri" w:hAnsi="Calibri" w:cs="Calibri"/>
          <w:b/>
        </w:rPr>
        <w:t>2015</w:t>
      </w:r>
      <w:r w:rsidR="00AC7F01" w:rsidRPr="00A81982">
        <w:rPr>
          <w:rFonts w:ascii="Calibri" w:eastAsia="Calibri" w:hAnsi="Calibri" w:cs="Calibri"/>
          <w:b/>
        </w:rPr>
        <w:br/>
      </w:r>
      <w:r w:rsidR="002076DF">
        <w:rPr>
          <w:rFonts w:ascii="Calibri" w:eastAsia="Calibri" w:hAnsi="Calibri" w:cs="Calibri"/>
          <w:b/>
        </w:rPr>
        <w:t xml:space="preserve"> </w:t>
      </w:r>
      <w:r w:rsidR="00BC4720">
        <w:rPr>
          <w:rFonts w:ascii="Calibri" w:eastAsia="Calibri" w:hAnsi="Calibri" w:cs="Calibri"/>
          <w:b/>
        </w:rPr>
        <w:t xml:space="preserve">Financing for Development: </w:t>
      </w:r>
      <w:r w:rsidR="00094EB0" w:rsidRPr="00A81982">
        <w:rPr>
          <w:rFonts w:ascii="Calibri" w:eastAsia="Calibri" w:hAnsi="Calibri" w:cs="Calibri"/>
          <w:b/>
        </w:rPr>
        <w:t xml:space="preserve">Ensure Developing Countries </w:t>
      </w:r>
      <w:r w:rsidR="002F11E2">
        <w:rPr>
          <w:rFonts w:ascii="Calibri" w:eastAsia="Calibri" w:hAnsi="Calibri" w:cs="Calibri"/>
          <w:b/>
        </w:rPr>
        <w:t>have</w:t>
      </w:r>
      <w:r w:rsidR="00094EB0" w:rsidRPr="00A81982">
        <w:rPr>
          <w:rFonts w:ascii="Calibri" w:eastAsia="Calibri" w:hAnsi="Calibri" w:cs="Calibri"/>
          <w:b/>
        </w:rPr>
        <w:t xml:space="preserve"> a Seat at </w:t>
      </w:r>
      <w:r w:rsidR="002076DF">
        <w:rPr>
          <w:rFonts w:ascii="Calibri" w:eastAsia="Calibri" w:hAnsi="Calibri" w:cs="Calibri"/>
          <w:b/>
        </w:rPr>
        <w:t xml:space="preserve">the </w:t>
      </w:r>
      <w:r w:rsidR="00094EB0" w:rsidRPr="00A81982">
        <w:rPr>
          <w:rFonts w:ascii="Calibri" w:eastAsia="Calibri" w:hAnsi="Calibri" w:cs="Calibri"/>
          <w:b/>
        </w:rPr>
        <w:t>Table to Reform Global Tax Rules</w:t>
      </w:r>
    </w:p>
    <w:p w:rsidR="00C746C2" w:rsidRDefault="00C746C2">
      <w:pPr>
        <w:pStyle w:val="normal0"/>
      </w:pPr>
    </w:p>
    <w:p w:rsidR="00C746C2" w:rsidRDefault="00094EB0">
      <w:pPr>
        <w:pStyle w:val="normal0"/>
        <w:jc w:val="both"/>
      </w:pPr>
      <w:r>
        <w:rPr>
          <w:rFonts w:ascii="Calibri" w:eastAsia="Calibri" w:hAnsi="Calibri" w:cs="Calibri"/>
        </w:rPr>
        <w:t>On</w:t>
      </w:r>
      <w:r w:rsidR="009B3F47">
        <w:rPr>
          <w:rFonts w:ascii="Calibri" w:eastAsia="Calibri" w:hAnsi="Calibri" w:cs="Calibri"/>
        </w:rPr>
        <w:t xml:space="preserve">e of the five priorities of the </w:t>
      </w:r>
      <w:r>
        <w:rPr>
          <w:rFonts w:ascii="Calibri" w:eastAsia="Calibri" w:hAnsi="Calibri" w:cs="Calibri"/>
        </w:rPr>
        <w:t>Presidency of Russian</w:t>
      </w:r>
      <w:r w:rsidR="00330496">
        <w:rPr>
          <w:rFonts w:ascii="Calibri" w:eastAsia="Calibri" w:hAnsi="Calibri" w:cs="Calibri"/>
        </w:rPr>
        <w:t xml:space="preserve"> Federation for BRICS 2015 is ‘t</w:t>
      </w:r>
      <w:r>
        <w:rPr>
          <w:rFonts w:ascii="Calibri" w:eastAsia="Calibri" w:hAnsi="Calibri" w:cs="Calibri"/>
        </w:rPr>
        <w:t>o Facilitate Multilateral Financial Cooperation and the Reform of the International Financial System’</w:t>
      </w:r>
      <w:r>
        <w:rPr>
          <w:rFonts w:ascii="Calibri" w:eastAsia="Calibri" w:hAnsi="Calibri" w:cs="Calibri"/>
          <w:vertAlign w:val="superscript"/>
        </w:rPr>
        <w:footnoteReference w:id="1"/>
      </w:r>
      <w:r>
        <w:rPr>
          <w:rFonts w:ascii="Calibri" w:eastAsia="Calibri" w:hAnsi="Calibri" w:cs="Calibri"/>
        </w:rPr>
        <w:t>. With the Financing for Development Conference in Addis Ababa on 1</w:t>
      </w:r>
      <w:r w:rsidR="0008708E">
        <w:rPr>
          <w:rFonts w:ascii="Calibri" w:eastAsia="Calibri" w:hAnsi="Calibri" w:cs="Calibri"/>
        </w:rPr>
        <w:t>3</w:t>
      </w:r>
      <w:r>
        <w:rPr>
          <w:rFonts w:ascii="Calibri" w:eastAsia="Calibri" w:hAnsi="Calibri" w:cs="Calibri"/>
        </w:rPr>
        <w:t>-16 July, the BRICS Summit comes at a timely moment to commit to ensuring</w:t>
      </w:r>
      <w:r w:rsidR="00D860EB">
        <w:rPr>
          <w:rFonts w:ascii="Calibri" w:eastAsia="Calibri" w:hAnsi="Calibri" w:cs="Calibri"/>
        </w:rPr>
        <w:t xml:space="preserve"> that</w:t>
      </w:r>
      <w:r>
        <w:rPr>
          <w:rFonts w:ascii="Calibri" w:eastAsia="Calibri" w:hAnsi="Calibri" w:cs="Calibri"/>
        </w:rPr>
        <w:t xml:space="preserve"> the outcome document at Addis Ababa is ambitious and delivers on the reform of the international financial system.</w:t>
      </w:r>
    </w:p>
    <w:p w:rsidR="00C746C2" w:rsidRDefault="00C746C2">
      <w:pPr>
        <w:pStyle w:val="normal0"/>
        <w:jc w:val="both"/>
      </w:pPr>
    </w:p>
    <w:p w:rsidR="00686419" w:rsidRDefault="00094EB0" w:rsidP="00686419">
      <w:pPr>
        <w:pStyle w:val="normal0"/>
        <w:jc w:val="both"/>
      </w:pPr>
      <w:r>
        <w:rPr>
          <w:rFonts w:ascii="Calibri" w:eastAsia="Calibri" w:hAnsi="Calibri" w:cs="Calibri"/>
          <w:b/>
        </w:rPr>
        <w:t xml:space="preserve">A proposal that would be the cornerstone of success in Addis Ababa is </w:t>
      </w:r>
      <w:r w:rsidR="00804C69">
        <w:rPr>
          <w:rFonts w:ascii="Calibri" w:eastAsia="Calibri" w:hAnsi="Calibri" w:cs="Calibri"/>
          <w:b/>
        </w:rPr>
        <w:t>establishing a</w:t>
      </w:r>
      <w:r>
        <w:rPr>
          <w:rFonts w:ascii="Calibri" w:eastAsia="Calibri" w:hAnsi="Calibri" w:cs="Calibri"/>
          <w:b/>
        </w:rPr>
        <w:t xml:space="preserve"> Universal, </w:t>
      </w:r>
      <w:r w:rsidR="00D846FA">
        <w:rPr>
          <w:rFonts w:ascii="Calibri" w:eastAsia="Calibri" w:hAnsi="Calibri" w:cs="Calibri"/>
          <w:b/>
        </w:rPr>
        <w:t xml:space="preserve">Intergovernmental </w:t>
      </w:r>
      <w:r>
        <w:rPr>
          <w:rFonts w:ascii="Calibri" w:eastAsia="Calibri" w:hAnsi="Calibri" w:cs="Calibri"/>
          <w:b/>
        </w:rPr>
        <w:t xml:space="preserve">Commission </w:t>
      </w:r>
      <w:r w:rsidR="00D846FA">
        <w:rPr>
          <w:rFonts w:ascii="Calibri" w:eastAsia="Calibri" w:hAnsi="Calibri" w:cs="Calibri"/>
          <w:b/>
        </w:rPr>
        <w:t>on tax matters</w:t>
      </w:r>
      <w:r>
        <w:rPr>
          <w:rFonts w:ascii="Calibri" w:eastAsia="Calibri" w:hAnsi="Calibri" w:cs="Calibri"/>
          <w:b/>
        </w:rPr>
        <w:t xml:space="preserve"> </w:t>
      </w:r>
      <w:r w:rsidR="009F4D47">
        <w:rPr>
          <w:rFonts w:ascii="Calibri" w:eastAsia="Calibri" w:hAnsi="Calibri" w:cs="Calibri"/>
          <w:b/>
        </w:rPr>
        <w:t xml:space="preserve">under the UN </w:t>
      </w:r>
      <w:r>
        <w:rPr>
          <w:rFonts w:ascii="Calibri" w:eastAsia="Calibri" w:hAnsi="Calibri" w:cs="Calibri"/>
          <w:b/>
        </w:rPr>
        <w:t xml:space="preserve">to ensure that </w:t>
      </w:r>
      <w:r w:rsidR="005204B2">
        <w:rPr>
          <w:rFonts w:ascii="Calibri" w:eastAsia="Calibri" w:hAnsi="Calibri" w:cs="Calibri"/>
          <w:b/>
        </w:rPr>
        <w:t xml:space="preserve">all </w:t>
      </w:r>
      <w:r>
        <w:rPr>
          <w:rFonts w:ascii="Calibri" w:eastAsia="Calibri" w:hAnsi="Calibri" w:cs="Calibri"/>
          <w:b/>
        </w:rPr>
        <w:t xml:space="preserve">developing countries are equal partners in reforming global tax rules </w:t>
      </w:r>
      <w:r>
        <w:rPr>
          <w:rFonts w:ascii="Calibri" w:eastAsia="Calibri" w:hAnsi="Calibri" w:cs="Calibri"/>
        </w:rPr>
        <w:t xml:space="preserve">and that </w:t>
      </w:r>
      <w:r w:rsidR="00E528DE">
        <w:rPr>
          <w:rFonts w:ascii="Calibri" w:eastAsia="Calibri" w:hAnsi="Calibri" w:cs="Calibri"/>
        </w:rPr>
        <w:t xml:space="preserve">the </w:t>
      </w:r>
      <w:r>
        <w:rPr>
          <w:rFonts w:ascii="Calibri" w:eastAsia="Calibri" w:hAnsi="Calibri" w:cs="Calibri"/>
        </w:rPr>
        <w:t xml:space="preserve">UN plays a leading role in international tax cooperation. </w:t>
      </w:r>
      <w:r w:rsidR="00686419">
        <w:rPr>
          <w:rFonts w:ascii="Calibri" w:eastAsia="Calibri" w:hAnsi="Calibri" w:cs="Calibri"/>
        </w:rPr>
        <w:t xml:space="preserve">We appreciate the support of BRICS countries in the Financing for Development negotiations so far, which has been vital to ensuring that the issue of a universal, UN intergovernmental body on tax has </w:t>
      </w:r>
      <w:r w:rsidR="003F67B1">
        <w:rPr>
          <w:rFonts w:ascii="Calibri" w:eastAsia="Calibri" w:hAnsi="Calibri" w:cs="Calibri"/>
        </w:rPr>
        <w:t xml:space="preserve">stayed </w:t>
      </w:r>
      <w:r w:rsidR="00686419">
        <w:rPr>
          <w:rFonts w:ascii="Calibri" w:eastAsia="Calibri" w:hAnsi="Calibri" w:cs="Calibri"/>
        </w:rPr>
        <w:t xml:space="preserve">high on the agenda. This remains one of the most positive outcomes that can be delivered in Addis Ababa in favour of developing countries. As political negotiations intensify in Addis Ababa, the pressure is also high to compromise </w:t>
      </w:r>
      <w:r w:rsidR="005204B2">
        <w:rPr>
          <w:rFonts w:ascii="Calibri" w:eastAsia="Calibri" w:hAnsi="Calibri" w:cs="Calibri"/>
        </w:rPr>
        <w:t>but we believe that the substa</w:t>
      </w:r>
      <w:r w:rsidR="00C11AF0">
        <w:rPr>
          <w:rFonts w:ascii="Calibri" w:eastAsia="Calibri" w:hAnsi="Calibri" w:cs="Calibri"/>
        </w:rPr>
        <w:t>nce of the proposal- creating a UN</w:t>
      </w:r>
      <w:r w:rsidR="005204B2">
        <w:rPr>
          <w:rFonts w:ascii="Calibri" w:eastAsia="Calibri" w:hAnsi="Calibri" w:cs="Calibri"/>
        </w:rPr>
        <w:t xml:space="preserve"> intergovernmental commission on tax</w:t>
      </w:r>
      <w:r w:rsidR="00EC38B4">
        <w:rPr>
          <w:rFonts w:ascii="Calibri" w:eastAsia="Calibri" w:hAnsi="Calibri" w:cs="Calibri"/>
        </w:rPr>
        <w:t xml:space="preserve"> </w:t>
      </w:r>
      <w:r w:rsidR="005204B2">
        <w:rPr>
          <w:rFonts w:ascii="Calibri" w:eastAsia="Calibri" w:hAnsi="Calibri" w:cs="Calibri"/>
        </w:rPr>
        <w:t>- cannot be compromised</w:t>
      </w:r>
      <w:r w:rsidR="00686419">
        <w:rPr>
          <w:rFonts w:ascii="Calibri" w:eastAsia="Calibri" w:hAnsi="Calibri" w:cs="Calibri"/>
        </w:rPr>
        <w:t xml:space="preserve">. Considering the leverage that the BRICS group enjoys, strong commitment and coordination on this issue will be crucial to deliver this transformational outcome in Addis Ababa. </w:t>
      </w:r>
    </w:p>
    <w:p w:rsidR="00C746C2" w:rsidRDefault="00C746C2">
      <w:pPr>
        <w:pStyle w:val="normal0"/>
        <w:jc w:val="both"/>
      </w:pPr>
    </w:p>
    <w:p w:rsidR="00C746C2" w:rsidRDefault="00094EB0">
      <w:pPr>
        <w:pStyle w:val="normal0"/>
        <w:jc w:val="both"/>
      </w:pPr>
      <w:r>
        <w:rPr>
          <w:rFonts w:ascii="Calibri" w:eastAsia="Calibri" w:hAnsi="Calibri" w:cs="Calibri"/>
          <w:u w:val="single"/>
        </w:rPr>
        <w:t>Why the support from BRICS matters</w:t>
      </w:r>
      <w:r>
        <w:rPr>
          <w:rFonts w:ascii="Calibri" w:eastAsia="Calibri" w:hAnsi="Calibri" w:cs="Calibri"/>
        </w:rPr>
        <w:t>:</w:t>
      </w:r>
    </w:p>
    <w:p w:rsidR="00C746C2" w:rsidRDefault="00C746C2">
      <w:pPr>
        <w:pStyle w:val="normal0"/>
        <w:jc w:val="both"/>
      </w:pPr>
    </w:p>
    <w:p w:rsidR="00C746C2" w:rsidRDefault="00094EB0">
      <w:pPr>
        <w:pStyle w:val="normal0"/>
        <w:numPr>
          <w:ilvl w:val="0"/>
          <w:numId w:val="1"/>
        </w:numPr>
        <w:ind w:hanging="360"/>
        <w:contextualSpacing/>
        <w:jc w:val="both"/>
        <w:rPr>
          <w:rFonts w:ascii="Calibri" w:eastAsia="Calibri" w:hAnsi="Calibri" w:cs="Calibri"/>
        </w:rPr>
      </w:pPr>
      <w:r>
        <w:rPr>
          <w:rFonts w:ascii="Calibri" w:eastAsia="Calibri" w:hAnsi="Calibri" w:cs="Calibri"/>
        </w:rPr>
        <w:t xml:space="preserve">BRICS have been the most vocal in challenging the dominance of the richest countries in the world in the international tax regime. This is evident in their departure from the OECD standard in areas such as transfer pricing. For the BRICS grouping to stay relevant, using the collective bargaining power and leverage to continue to challenge the current tax </w:t>
      </w:r>
      <w:r w:rsidR="008F7AC6">
        <w:rPr>
          <w:rFonts w:ascii="Calibri" w:eastAsia="Calibri" w:hAnsi="Calibri" w:cs="Calibri"/>
        </w:rPr>
        <w:t>regime, which is working against the interests of developing countries,</w:t>
      </w:r>
      <w:r>
        <w:rPr>
          <w:rFonts w:ascii="Calibri" w:eastAsia="Calibri" w:hAnsi="Calibri" w:cs="Calibri"/>
        </w:rPr>
        <w:t xml:space="preserve"> is crucial. At the heart of this, is the importance of international tax cooperation and the need for UN to lead as the universal forum that allows all countries to participate on equal footing.</w:t>
      </w:r>
    </w:p>
    <w:p w:rsidR="00C746C2" w:rsidRDefault="00C746C2">
      <w:pPr>
        <w:pStyle w:val="normal0"/>
        <w:jc w:val="both"/>
      </w:pPr>
    </w:p>
    <w:p w:rsidR="00C746C2" w:rsidRDefault="00094EB0">
      <w:pPr>
        <w:pStyle w:val="normal0"/>
        <w:numPr>
          <w:ilvl w:val="0"/>
          <w:numId w:val="1"/>
        </w:numPr>
        <w:ind w:hanging="360"/>
        <w:contextualSpacing/>
        <w:jc w:val="both"/>
        <w:rPr>
          <w:rFonts w:ascii="Calibri" w:eastAsia="Calibri" w:hAnsi="Calibri" w:cs="Calibri"/>
        </w:rPr>
      </w:pPr>
      <w:r>
        <w:rPr>
          <w:rFonts w:ascii="Calibri" w:eastAsia="Calibri" w:hAnsi="Calibri" w:cs="Calibri"/>
        </w:rPr>
        <w:t xml:space="preserve">The bias of tax treaties in favour of residence countries </w:t>
      </w:r>
      <w:r w:rsidR="006D2A79">
        <w:rPr>
          <w:rFonts w:ascii="Calibri" w:eastAsia="Calibri" w:hAnsi="Calibri" w:cs="Calibri"/>
        </w:rPr>
        <w:t>- mostly</w:t>
      </w:r>
      <w:r>
        <w:rPr>
          <w:rFonts w:ascii="Calibri" w:eastAsia="Calibri" w:hAnsi="Calibri" w:cs="Calibri"/>
        </w:rPr>
        <w:t xml:space="preserve"> developed countries - is a key issue that the BRICS countries have been challenging. This is a shared struggle with other developing countries, who as source countries, continue to lose huge amounts of revenue without a robust global forum to address this. The recent OECD BEPS initiative has been unwilling to </w:t>
      </w:r>
      <w:r w:rsidR="00302442">
        <w:rPr>
          <w:rFonts w:ascii="Calibri" w:eastAsia="Calibri" w:hAnsi="Calibri" w:cs="Calibri"/>
        </w:rPr>
        <w:t>tackle</w:t>
      </w:r>
      <w:r>
        <w:rPr>
          <w:rFonts w:ascii="Calibri" w:eastAsia="Calibri" w:hAnsi="Calibri" w:cs="Calibri"/>
        </w:rPr>
        <w:t xml:space="preserve"> this</w:t>
      </w:r>
      <w:r w:rsidR="00C250C4">
        <w:rPr>
          <w:rFonts w:ascii="Calibri" w:eastAsia="Calibri" w:hAnsi="Calibri" w:cs="Calibri"/>
        </w:rPr>
        <w:t>, despite</w:t>
      </w:r>
      <w:r>
        <w:rPr>
          <w:rFonts w:ascii="Calibri" w:eastAsia="Calibri" w:hAnsi="Calibri" w:cs="Calibri"/>
        </w:rPr>
        <w:t xml:space="preserve"> developing countries</w:t>
      </w:r>
      <w:r w:rsidR="001E6729">
        <w:rPr>
          <w:rFonts w:ascii="Calibri" w:eastAsia="Calibri" w:hAnsi="Calibri" w:cs="Calibri"/>
        </w:rPr>
        <w:t xml:space="preserve"> excluded from the initiative </w:t>
      </w:r>
      <w:r>
        <w:rPr>
          <w:rFonts w:ascii="Calibri" w:eastAsia="Calibri" w:hAnsi="Calibri" w:cs="Calibri"/>
        </w:rPr>
        <w:t>raising the issue that balance between source and residence taxation is significant for them in the regional BEPS consultations in 2014</w:t>
      </w:r>
      <w:r>
        <w:rPr>
          <w:rFonts w:ascii="Calibri" w:eastAsia="Calibri" w:hAnsi="Calibri" w:cs="Calibri"/>
          <w:vertAlign w:val="superscript"/>
        </w:rPr>
        <w:footnoteReference w:id="2"/>
      </w:r>
      <w:r>
        <w:rPr>
          <w:rFonts w:ascii="Calibri" w:eastAsia="Calibri" w:hAnsi="Calibri" w:cs="Calibri"/>
        </w:rPr>
        <w:t>. With an estimated 85% of world trade affected by tax rules in tax treaties</w:t>
      </w:r>
      <w:r>
        <w:rPr>
          <w:rFonts w:ascii="Calibri" w:eastAsia="Calibri" w:hAnsi="Calibri" w:cs="Calibri"/>
          <w:vertAlign w:val="superscript"/>
        </w:rPr>
        <w:footnoteReference w:id="3"/>
      </w:r>
      <w:r>
        <w:rPr>
          <w:rFonts w:ascii="Calibri" w:eastAsia="Calibri" w:hAnsi="Calibri" w:cs="Calibri"/>
        </w:rPr>
        <w:t xml:space="preserve">, it is unacceptable that </w:t>
      </w:r>
      <w:r>
        <w:rPr>
          <w:rFonts w:ascii="Calibri" w:eastAsia="Calibri" w:hAnsi="Calibri" w:cs="Calibri"/>
        </w:rPr>
        <w:lastRenderedPageBreak/>
        <w:t xml:space="preserve">developing countries continue to be left out of tax norm setting and decisions are made by a club of rich countries in Paris. </w:t>
      </w:r>
    </w:p>
    <w:p w:rsidR="00C746C2" w:rsidRDefault="00C746C2">
      <w:pPr>
        <w:pStyle w:val="normal0"/>
        <w:jc w:val="both"/>
      </w:pPr>
    </w:p>
    <w:p w:rsidR="003F67B1" w:rsidRDefault="00094EB0" w:rsidP="002A329E">
      <w:pPr>
        <w:pStyle w:val="normal0"/>
        <w:numPr>
          <w:ilvl w:val="0"/>
          <w:numId w:val="1"/>
        </w:numPr>
        <w:ind w:hanging="360"/>
        <w:contextualSpacing/>
        <w:jc w:val="both"/>
        <w:rPr>
          <w:rFonts w:ascii="Calibri" w:eastAsia="Calibri" w:hAnsi="Calibri" w:cs="Calibri"/>
        </w:rPr>
      </w:pPr>
      <w:r>
        <w:rPr>
          <w:rFonts w:ascii="Calibri" w:eastAsia="Calibri" w:hAnsi="Calibri" w:cs="Calibri"/>
        </w:rPr>
        <w:t xml:space="preserve">Current international tax architecture does not represent the interests of BRICS or other developing countries. A joint proposal by IMF, OECD and World Bank published in 2002 at the time of the Monterrey Conference stated that </w:t>
      </w:r>
      <w:r>
        <w:rPr>
          <w:rFonts w:ascii="Calibri" w:eastAsia="Calibri" w:hAnsi="Calibri" w:cs="Calibri"/>
          <w:i/>
        </w:rPr>
        <w:t xml:space="preserve">‘Although it has extensive contacts with non-OECD countries and considerable awareness of developing country issues through its non-member programs, the </w:t>
      </w:r>
      <w:r>
        <w:rPr>
          <w:rFonts w:ascii="Calibri" w:eastAsia="Calibri" w:hAnsi="Calibri" w:cs="Calibri"/>
          <w:b/>
          <w:i/>
        </w:rPr>
        <w:t>OECD does not represent the views of developing countries</w:t>
      </w:r>
      <w:r>
        <w:rPr>
          <w:rFonts w:ascii="Calibri" w:eastAsia="Calibri" w:hAnsi="Calibri" w:cs="Calibri"/>
          <w:b/>
          <w:i/>
          <w:vertAlign w:val="superscript"/>
        </w:rPr>
        <w:footnoteReference w:id="4"/>
      </w:r>
      <w:r>
        <w:rPr>
          <w:rFonts w:ascii="Calibri" w:eastAsia="Calibri" w:hAnsi="Calibri" w:cs="Calibri"/>
          <w:b/>
          <w:i/>
        </w:rPr>
        <w:t>.</w:t>
      </w:r>
      <w:r>
        <w:rPr>
          <w:rFonts w:ascii="Calibri" w:eastAsia="Calibri" w:hAnsi="Calibri" w:cs="Calibri"/>
          <w:b/>
        </w:rPr>
        <w:t xml:space="preserve"> </w:t>
      </w:r>
      <w:r w:rsidR="003269BC">
        <w:rPr>
          <w:rFonts w:ascii="Calibri" w:eastAsia="Calibri" w:hAnsi="Calibri" w:cs="Calibri"/>
        </w:rPr>
        <w:t xml:space="preserve">While the OECD BEPS initiative has involved G20 developing countries on equal footing, not a single low income country is involved in decision making. </w:t>
      </w:r>
      <w:r w:rsidR="003269BC">
        <w:rPr>
          <w:rFonts w:ascii="Calibri" w:eastAsia="Calibri" w:hAnsi="Calibri" w:cs="Calibri"/>
        </w:rPr>
        <w:br/>
      </w:r>
    </w:p>
    <w:p w:rsidR="003269BC" w:rsidRDefault="00094EB0" w:rsidP="002A329E">
      <w:pPr>
        <w:pStyle w:val="normal0"/>
        <w:numPr>
          <w:ilvl w:val="0"/>
          <w:numId w:val="1"/>
        </w:numPr>
        <w:ind w:hanging="360"/>
        <w:contextualSpacing/>
        <w:jc w:val="both"/>
        <w:rPr>
          <w:rFonts w:ascii="Calibri" w:eastAsia="Calibri" w:hAnsi="Calibri" w:cs="Calibri"/>
        </w:rPr>
      </w:pPr>
      <w:r>
        <w:rPr>
          <w:rFonts w:ascii="Calibri" w:eastAsia="Calibri" w:hAnsi="Calibri" w:cs="Calibri"/>
        </w:rPr>
        <w:t xml:space="preserve">Currently, the UN Tax Committee has an extremely limited budget of some $175,000/year, meets only five days a year, with members that work in their personal capacity and the Secretariat consists of 2.5 full-time staff members. In contrast, OECD’s Centre for Tax Policy and Administration (CTPA) is well resourced with a budget of EUR 10million as per 2013 financial statement (which includes EUR 4million for the work of the Global Forum). They are able to hire experienced staff at the Secretariat, establish working parties where technical documents are produced, which are then approved by the intergovernmental Committee on Fiscal Affairs (CFA). </w:t>
      </w:r>
    </w:p>
    <w:p w:rsidR="00C746C2" w:rsidRPr="002A329E" w:rsidRDefault="002A329E" w:rsidP="003269BC">
      <w:pPr>
        <w:pStyle w:val="normal0"/>
        <w:ind w:left="360"/>
        <w:contextualSpacing/>
        <w:jc w:val="both"/>
        <w:rPr>
          <w:rFonts w:ascii="Calibri" w:eastAsia="Calibri" w:hAnsi="Calibri" w:cs="Calibri"/>
        </w:rPr>
      </w:pPr>
      <w:r w:rsidRPr="002A329E">
        <w:rPr>
          <w:rFonts w:ascii="Calibri" w:eastAsia="Calibri" w:hAnsi="Calibri" w:cs="Calibri"/>
        </w:rPr>
        <w:t xml:space="preserve">The FfD conference </w:t>
      </w:r>
      <w:r>
        <w:rPr>
          <w:rFonts w:ascii="Calibri" w:eastAsia="Calibri" w:hAnsi="Calibri" w:cs="Calibri"/>
        </w:rPr>
        <w:t>presents an opportunity for BRICS to play a leadership role in ensuring the balance of power shifts in regard to international tax cooperation.</w:t>
      </w:r>
    </w:p>
    <w:p w:rsidR="00C746C2" w:rsidRDefault="00C746C2">
      <w:pPr>
        <w:pStyle w:val="normal0"/>
        <w:jc w:val="both"/>
      </w:pPr>
    </w:p>
    <w:p w:rsidR="00C746C2" w:rsidRDefault="00094EB0">
      <w:pPr>
        <w:pStyle w:val="normal0"/>
        <w:numPr>
          <w:ilvl w:val="0"/>
          <w:numId w:val="1"/>
        </w:numPr>
        <w:ind w:hanging="360"/>
        <w:contextualSpacing/>
        <w:jc w:val="both"/>
        <w:rPr>
          <w:rFonts w:ascii="Calibri" w:eastAsia="Calibri" w:hAnsi="Calibri" w:cs="Calibri"/>
        </w:rPr>
      </w:pPr>
      <w:r>
        <w:rPr>
          <w:rFonts w:ascii="Calibri" w:eastAsia="Calibri" w:hAnsi="Calibri" w:cs="Calibri"/>
        </w:rPr>
        <w:t>Since 2011, G77 and China has repeated its calls for an intergovernmental UN body to ensure all developing countries have an equal say on tax matters. These statements can be found here:</w:t>
      </w:r>
    </w:p>
    <w:p w:rsidR="00C746C2" w:rsidRPr="001744E9" w:rsidRDefault="00094EB0" w:rsidP="00E528DE">
      <w:pPr>
        <w:pStyle w:val="normal0"/>
        <w:ind w:left="360"/>
        <w:jc w:val="both"/>
        <w:rPr>
          <w:rFonts w:ascii="Calibri" w:eastAsia="Calibri" w:hAnsi="Calibri" w:cs="Calibri"/>
          <w:color w:val="1155CC"/>
          <w:u w:val="single"/>
        </w:rPr>
      </w:pPr>
      <w:r>
        <w:rPr>
          <w:rFonts w:ascii="Calibri" w:eastAsia="Calibri" w:hAnsi="Calibri" w:cs="Calibri"/>
        </w:rPr>
        <w:t>2011:</w:t>
      </w:r>
      <w:hyperlink r:id="rId8">
        <w:r>
          <w:rPr>
            <w:rFonts w:ascii="Calibri" w:eastAsia="Calibri" w:hAnsi="Calibri" w:cs="Calibri"/>
          </w:rPr>
          <w:t xml:space="preserve"> </w:t>
        </w:r>
      </w:hyperlink>
      <w:hyperlink r:id="rId9" w:history="1">
        <w:r w:rsidR="001744E9" w:rsidRPr="000E35AC">
          <w:rPr>
            <w:rFonts w:ascii="Calibri" w:eastAsia="Calibri" w:hAnsi="Calibri" w:cs="Calibri"/>
            <w:color w:val="1155CC"/>
            <w:u w:val="single"/>
          </w:rPr>
          <w:t>http://www.g77.org/statement/getstatement.php?id=110727C</w:t>
        </w:r>
      </w:hyperlink>
      <w:r w:rsidR="000E35AC">
        <w:t xml:space="preserve"> </w:t>
      </w:r>
      <w:r w:rsidR="001744E9" w:rsidRPr="001744E9">
        <w:rPr>
          <w:rFonts w:ascii="Calibri" w:eastAsia="Calibri" w:hAnsi="Calibri" w:cs="Calibri"/>
          <w:color w:val="1155CC"/>
          <w:u w:val="single"/>
        </w:rPr>
        <w:t xml:space="preserve"> </w:t>
      </w:r>
    </w:p>
    <w:p w:rsidR="00C746C2" w:rsidRDefault="00094EB0" w:rsidP="00E528DE">
      <w:pPr>
        <w:pStyle w:val="normal0"/>
        <w:ind w:left="360"/>
        <w:jc w:val="both"/>
      </w:pPr>
      <w:r>
        <w:rPr>
          <w:rFonts w:ascii="Calibri" w:eastAsia="Calibri" w:hAnsi="Calibri" w:cs="Calibri"/>
        </w:rPr>
        <w:t>2012:</w:t>
      </w:r>
      <w:hyperlink r:id="rId10">
        <w:r>
          <w:rPr>
            <w:rFonts w:ascii="Calibri" w:eastAsia="Calibri" w:hAnsi="Calibri" w:cs="Calibri"/>
          </w:rPr>
          <w:t xml:space="preserve"> </w:t>
        </w:r>
      </w:hyperlink>
      <w:hyperlink r:id="rId11">
        <w:r>
          <w:rPr>
            <w:rFonts w:ascii="Calibri" w:eastAsia="Calibri" w:hAnsi="Calibri" w:cs="Calibri"/>
            <w:color w:val="1155CC"/>
            <w:u w:val="single"/>
          </w:rPr>
          <w:t>http://www.g77.org/statement/getstatement.php?id=120727</w:t>
        </w:r>
      </w:hyperlink>
      <w:r>
        <w:rPr>
          <w:rFonts w:ascii="Calibri" w:eastAsia="Calibri" w:hAnsi="Calibri" w:cs="Calibri"/>
        </w:rPr>
        <w:t xml:space="preserve"> </w:t>
      </w:r>
    </w:p>
    <w:p w:rsidR="00C746C2" w:rsidRDefault="00094EB0" w:rsidP="00E528DE">
      <w:pPr>
        <w:pStyle w:val="normal0"/>
        <w:ind w:left="360"/>
        <w:jc w:val="both"/>
      </w:pPr>
      <w:r>
        <w:rPr>
          <w:rFonts w:ascii="Calibri" w:eastAsia="Calibri" w:hAnsi="Calibri" w:cs="Calibri"/>
        </w:rPr>
        <w:t>2013:</w:t>
      </w:r>
      <w:hyperlink r:id="rId12">
        <w:r>
          <w:rPr>
            <w:rFonts w:ascii="Calibri" w:eastAsia="Calibri" w:hAnsi="Calibri" w:cs="Calibri"/>
          </w:rPr>
          <w:t xml:space="preserve"> </w:t>
        </w:r>
      </w:hyperlink>
      <w:hyperlink r:id="rId13">
        <w:r>
          <w:rPr>
            <w:rFonts w:ascii="Calibri" w:eastAsia="Calibri" w:hAnsi="Calibri" w:cs="Calibri"/>
            <w:color w:val="1155CC"/>
            <w:u w:val="single"/>
          </w:rPr>
          <w:t>http://www.g77.org/statement/getstatement.php?id=130529</w:t>
        </w:r>
      </w:hyperlink>
      <w:r>
        <w:rPr>
          <w:rFonts w:ascii="Calibri" w:eastAsia="Calibri" w:hAnsi="Calibri" w:cs="Calibri"/>
        </w:rPr>
        <w:t xml:space="preserve"> </w:t>
      </w:r>
    </w:p>
    <w:p w:rsidR="00C746C2" w:rsidRDefault="00094EB0" w:rsidP="00E528DE">
      <w:pPr>
        <w:pStyle w:val="normal0"/>
        <w:ind w:left="360"/>
        <w:jc w:val="both"/>
      </w:pPr>
      <w:r>
        <w:rPr>
          <w:rFonts w:ascii="Calibri" w:eastAsia="Calibri" w:hAnsi="Calibri" w:cs="Calibri"/>
        </w:rPr>
        <w:t>2014:</w:t>
      </w:r>
      <w:hyperlink r:id="rId14" w:history="1">
        <w:r w:rsidR="00D61E6E" w:rsidRPr="001069E0">
          <w:rPr>
            <w:rStyle w:val="Hyperlink"/>
            <w:rFonts w:ascii="Calibri" w:eastAsia="Calibri" w:hAnsi="Calibri" w:cs="Calibri"/>
          </w:rPr>
          <w:t>http://www.un.org/esa/ffd/wp-content/uploads/2014/09/ICTM2014_StatementG77China.pdf</w:t>
        </w:r>
      </w:hyperlink>
      <w:r>
        <w:rPr>
          <w:rFonts w:ascii="Calibri" w:eastAsia="Calibri" w:hAnsi="Calibri" w:cs="Calibri"/>
        </w:rPr>
        <w:t xml:space="preserve"> </w:t>
      </w:r>
    </w:p>
    <w:p w:rsidR="00C746C2" w:rsidRDefault="00094EB0" w:rsidP="00E528DE">
      <w:pPr>
        <w:pStyle w:val="normal0"/>
        <w:ind w:left="360"/>
        <w:jc w:val="both"/>
      </w:pPr>
      <w:r>
        <w:rPr>
          <w:rFonts w:ascii="Calibri" w:eastAsia="Calibri" w:hAnsi="Calibri" w:cs="Calibri"/>
        </w:rPr>
        <w:t>2015:</w:t>
      </w:r>
      <w:hyperlink r:id="rId15">
        <w:r>
          <w:rPr>
            <w:rFonts w:ascii="Calibri" w:eastAsia="Calibri" w:hAnsi="Calibri" w:cs="Calibri"/>
          </w:rPr>
          <w:t xml:space="preserve"> </w:t>
        </w:r>
      </w:hyperlink>
      <w:hyperlink r:id="rId16">
        <w:r>
          <w:rPr>
            <w:rFonts w:ascii="Calibri" w:eastAsia="Calibri" w:hAnsi="Calibri" w:cs="Calibri"/>
            <w:color w:val="1155CC"/>
            <w:u w:val="single"/>
          </w:rPr>
          <w:t>http://www.un.org/esa/ffd/wp-content/uploads/2015/04/2015esm-SouthAfrica.pdf</w:t>
        </w:r>
      </w:hyperlink>
    </w:p>
    <w:p w:rsidR="00C746C2" w:rsidRDefault="00C746C2">
      <w:pPr>
        <w:pStyle w:val="normal0"/>
        <w:ind w:left="720"/>
        <w:jc w:val="both"/>
      </w:pPr>
    </w:p>
    <w:p w:rsidR="00C746C2" w:rsidRDefault="00094EB0" w:rsidP="00E528DE">
      <w:pPr>
        <w:pStyle w:val="normal0"/>
        <w:ind w:left="360"/>
        <w:jc w:val="both"/>
      </w:pPr>
      <w:r>
        <w:rPr>
          <w:rFonts w:ascii="Calibri" w:eastAsia="Calibri" w:hAnsi="Calibri" w:cs="Calibri"/>
        </w:rPr>
        <w:t xml:space="preserve">G77 and China has continued to express disappointment on the lack of movement to fulfil this mandate in this </w:t>
      </w:r>
      <w:r w:rsidR="007C6988">
        <w:rPr>
          <w:rFonts w:ascii="Calibri" w:eastAsia="Calibri" w:hAnsi="Calibri" w:cs="Calibri"/>
        </w:rPr>
        <w:t>limited annual exercise</w:t>
      </w:r>
      <w:r>
        <w:rPr>
          <w:rFonts w:ascii="Calibri" w:eastAsia="Calibri" w:hAnsi="Calibri" w:cs="Calibri"/>
        </w:rPr>
        <w:t>. The FfD3 Conference in Addis Ababa is the only forum in the</w:t>
      </w:r>
      <w:r w:rsidR="000B1295">
        <w:rPr>
          <w:rFonts w:ascii="Calibri" w:eastAsia="Calibri" w:hAnsi="Calibri" w:cs="Calibri"/>
        </w:rPr>
        <w:t xml:space="preserve"> near</w:t>
      </w:r>
      <w:r>
        <w:rPr>
          <w:rFonts w:ascii="Calibri" w:eastAsia="Calibri" w:hAnsi="Calibri" w:cs="Calibri"/>
        </w:rPr>
        <w:t xml:space="preserve"> future that can change this. </w:t>
      </w:r>
    </w:p>
    <w:p w:rsidR="00C746C2" w:rsidRDefault="00C746C2">
      <w:pPr>
        <w:pStyle w:val="normal0"/>
        <w:ind w:left="720"/>
        <w:jc w:val="both"/>
      </w:pPr>
    </w:p>
    <w:p w:rsidR="008028E3" w:rsidRPr="008028E3" w:rsidRDefault="00094EB0" w:rsidP="003269BC">
      <w:pPr>
        <w:pStyle w:val="normal0"/>
        <w:jc w:val="both"/>
        <w:rPr>
          <w:rFonts w:ascii="Calibri" w:eastAsia="Calibri" w:hAnsi="Calibri" w:cs="Calibri"/>
        </w:rPr>
      </w:pPr>
      <w:r>
        <w:rPr>
          <w:rFonts w:ascii="Calibri" w:eastAsia="Calibri" w:hAnsi="Calibri" w:cs="Calibri"/>
        </w:rPr>
        <w:t>We thank you for your consideration of these points</w:t>
      </w:r>
      <w:r w:rsidR="004E44F6">
        <w:rPr>
          <w:rFonts w:ascii="Calibri" w:eastAsia="Calibri" w:hAnsi="Calibri" w:cs="Calibri"/>
        </w:rPr>
        <w:t xml:space="preserve"> and hope that you </w:t>
      </w:r>
      <w:r w:rsidR="003F67B1">
        <w:rPr>
          <w:rFonts w:ascii="Calibri" w:eastAsia="Calibri" w:hAnsi="Calibri" w:cs="Calibri"/>
        </w:rPr>
        <w:t>use</w:t>
      </w:r>
      <w:r w:rsidR="004E44F6">
        <w:rPr>
          <w:rFonts w:ascii="Calibri" w:eastAsia="Calibri" w:hAnsi="Calibri" w:cs="Calibri"/>
        </w:rPr>
        <w:t xml:space="preserve"> this opportunity to </w:t>
      </w:r>
      <w:r w:rsidR="001E7451">
        <w:rPr>
          <w:rFonts w:ascii="Calibri" w:eastAsia="Calibri" w:hAnsi="Calibri" w:cs="Calibri"/>
        </w:rPr>
        <w:t xml:space="preserve">positively </w:t>
      </w:r>
      <w:r w:rsidR="004E44F6">
        <w:rPr>
          <w:rFonts w:ascii="Calibri" w:eastAsia="Calibri" w:hAnsi="Calibri" w:cs="Calibri"/>
        </w:rPr>
        <w:t>impact the trajectory of the</w:t>
      </w:r>
      <w:r w:rsidR="003F67B1">
        <w:rPr>
          <w:rFonts w:ascii="Calibri" w:eastAsia="Calibri" w:hAnsi="Calibri" w:cs="Calibri"/>
        </w:rPr>
        <w:t xml:space="preserve"> current</w:t>
      </w:r>
      <w:r w:rsidR="004E44F6">
        <w:rPr>
          <w:rFonts w:ascii="Calibri" w:eastAsia="Calibri" w:hAnsi="Calibri" w:cs="Calibri"/>
        </w:rPr>
        <w:t xml:space="preserve"> international tax regime and cooperation. </w:t>
      </w:r>
      <w:r w:rsidR="001E6729">
        <w:rPr>
          <w:rFonts w:ascii="Calibri" w:eastAsia="Calibri" w:hAnsi="Calibri" w:cs="Calibri"/>
        </w:rPr>
        <w:br/>
      </w:r>
      <w:r w:rsidR="001E6729">
        <w:rPr>
          <w:rFonts w:ascii="Calibri" w:eastAsia="Calibri" w:hAnsi="Calibri" w:cs="Calibri"/>
        </w:rPr>
        <w:br/>
        <w:t>Signed by,</w:t>
      </w:r>
    </w:p>
    <w:sectPr w:rsidR="008028E3" w:rsidRPr="008028E3" w:rsidSect="008028E3">
      <w:pgSz w:w="12240" w:h="15840"/>
      <w:pgMar w:top="1440" w:right="1440" w:bottom="99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BC" w:rsidRDefault="00AB72BC" w:rsidP="00C746C2">
      <w:pPr>
        <w:spacing w:line="240" w:lineRule="auto"/>
      </w:pPr>
      <w:r>
        <w:separator/>
      </w:r>
    </w:p>
  </w:endnote>
  <w:endnote w:type="continuationSeparator" w:id="0">
    <w:p w:rsidR="00AB72BC" w:rsidRDefault="00AB72BC" w:rsidP="00C746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BC" w:rsidRDefault="00AB72BC" w:rsidP="00C746C2">
      <w:pPr>
        <w:spacing w:line="240" w:lineRule="auto"/>
      </w:pPr>
      <w:r>
        <w:separator/>
      </w:r>
    </w:p>
  </w:footnote>
  <w:footnote w:type="continuationSeparator" w:id="0">
    <w:p w:rsidR="00AB72BC" w:rsidRDefault="00AB72BC" w:rsidP="00C746C2">
      <w:pPr>
        <w:spacing w:line="240" w:lineRule="auto"/>
      </w:pPr>
      <w:r>
        <w:continuationSeparator/>
      </w:r>
    </w:p>
  </w:footnote>
  <w:footnote w:id="1">
    <w:p w:rsidR="00C746C2" w:rsidRPr="00C250C4" w:rsidRDefault="00094EB0">
      <w:pPr>
        <w:pStyle w:val="normal0"/>
        <w:spacing w:line="240" w:lineRule="auto"/>
        <w:rPr>
          <w:rFonts w:asciiTheme="minorHAnsi" w:hAnsiTheme="minorHAnsi"/>
          <w:sz w:val="18"/>
          <w:szCs w:val="18"/>
        </w:rPr>
      </w:pPr>
      <w:r w:rsidRPr="00C250C4">
        <w:rPr>
          <w:rFonts w:asciiTheme="minorHAnsi" w:hAnsiTheme="minorHAnsi"/>
          <w:sz w:val="18"/>
          <w:szCs w:val="18"/>
          <w:vertAlign w:val="superscript"/>
        </w:rPr>
        <w:footnoteRef/>
      </w:r>
      <w:r w:rsidRPr="00C250C4">
        <w:rPr>
          <w:rFonts w:asciiTheme="minorHAnsi" w:hAnsiTheme="minorHAnsi"/>
          <w:sz w:val="18"/>
          <w:szCs w:val="18"/>
        </w:rPr>
        <w:t xml:space="preserve"> </w:t>
      </w:r>
      <w:hyperlink r:id="rId1">
        <w:r w:rsidRPr="00C250C4">
          <w:rPr>
            <w:rFonts w:asciiTheme="minorHAnsi" w:hAnsiTheme="minorHAnsi"/>
            <w:color w:val="1155CC"/>
            <w:sz w:val="18"/>
            <w:szCs w:val="18"/>
            <w:u w:val="single"/>
          </w:rPr>
          <w:t>http://en.brics2015.ru/</w:t>
        </w:r>
      </w:hyperlink>
    </w:p>
  </w:footnote>
  <w:footnote w:id="2">
    <w:p w:rsidR="00C746C2" w:rsidRPr="00C250C4" w:rsidRDefault="00094EB0">
      <w:pPr>
        <w:pStyle w:val="normal0"/>
        <w:spacing w:line="240" w:lineRule="auto"/>
        <w:rPr>
          <w:rFonts w:asciiTheme="minorHAnsi" w:hAnsiTheme="minorHAnsi"/>
          <w:sz w:val="18"/>
          <w:szCs w:val="18"/>
        </w:rPr>
      </w:pPr>
      <w:r w:rsidRPr="00C250C4">
        <w:rPr>
          <w:rFonts w:asciiTheme="minorHAnsi" w:hAnsiTheme="minorHAnsi"/>
          <w:sz w:val="18"/>
          <w:szCs w:val="18"/>
          <w:vertAlign w:val="superscript"/>
        </w:rPr>
        <w:footnoteRef/>
      </w:r>
      <w:r w:rsidRPr="00C250C4">
        <w:rPr>
          <w:rFonts w:asciiTheme="minorHAnsi" w:hAnsiTheme="minorHAnsi"/>
          <w:sz w:val="18"/>
          <w:szCs w:val="18"/>
        </w:rPr>
        <w:t xml:space="preserve"> </w:t>
      </w:r>
      <w:hyperlink r:id="rId2" w:history="1">
        <w:r w:rsidR="00556EA5" w:rsidRPr="001069E0">
          <w:rPr>
            <w:rStyle w:val="Hyperlink"/>
            <w:rFonts w:asciiTheme="minorHAnsi" w:eastAsia="Calibri" w:hAnsiTheme="minorHAnsi" w:cs="Calibri"/>
            <w:sz w:val="18"/>
            <w:szCs w:val="18"/>
          </w:rPr>
          <w:t>http://www.oecd.org/ctp/Co-chairs-summary-Seoul-2014.pdf</w:t>
        </w:r>
      </w:hyperlink>
      <w:r w:rsidR="00556EA5">
        <w:rPr>
          <w:rFonts w:asciiTheme="minorHAnsi" w:eastAsia="Calibri" w:hAnsiTheme="minorHAnsi" w:cs="Calibri"/>
          <w:sz w:val="18"/>
          <w:szCs w:val="18"/>
        </w:rPr>
        <w:t xml:space="preserve"> </w:t>
      </w:r>
      <w:r w:rsidRPr="00C250C4">
        <w:rPr>
          <w:rFonts w:asciiTheme="minorHAnsi" w:eastAsia="Calibri" w:hAnsiTheme="minorHAnsi" w:cs="Calibri"/>
          <w:sz w:val="18"/>
          <w:szCs w:val="18"/>
        </w:rPr>
        <w:t xml:space="preserve">and </w:t>
      </w:r>
      <w:hyperlink r:id="rId3" w:history="1">
        <w:r w:rsidR="00556EA5" w:rsidRPr="001069E0">
          <w:rPr>
            <w:rStyle w:val="Hyperlink"/>
            <w:rFonts w:asciiTheme="minorHAnsi" w:eastAsia="Calibri" w:hAnsiTheme="minorHAnsi" w:cs="Calibri"/>
            <w:sz w:val="18"/>
            <w:szCs w:val="18"/>
          </w:rPr>
          <w:t>http://www.oecd.org/ctp/co-chair-summary-LACregional-consultation-BEPS.pdf</w:t>
        </w:r>
      </w:hyperlink>
      <w:r w:rsidR="00556EA5">
        <w:rPr>
          <w:rFonts w:asciiTheme="minorHAnsi" w:eastAsia="Calibri" w:hAnsiTheme="minorHAnsi" w:cs="Calibri"/>
          <w:sz w:val="18"/>
          <w:szCs w:val="18"/>
        </w:rPr>
        <w:t xml:space="preserve"> </w:t>
      </w:r>
      <w:r w:rsidRPr="00C250C4">
        <w:rPr>
          <w:rFonts w:asciiTheme="minorHAnsi" w:eastAsia="Calibri" w:hAnsiTheme="minorHAnsi" w:cs="Calibri"/>
          <w:sz w:val="18"/>
          <w:szCs w:val="18"/>
        </w:rPr>
        <w:t xml:space="preserve"> </w:t>
      </w:r>
      <w:r w:rsidR="00556EA5">
        <w:rPr>
          <w:rFonts w:asciiTheme="minorHAnsi" w:eastAsia="Calibri" w:hAnsiTheme="minorHAnsi" w:cs="Calibri"/>
          <w:sz w:val="18"/>
          <w:szCs w:val="18"/>
        </w:rPr>
        <w:t xml:space="preserve"> </w:t>
      </w:r>
      <w:r w:rsidRPr="00C250C4">
        <w:rPr>
          <w:rFonts w:asciiTheme="minorHAnsi" w:eastAsia="Calibri" w:hAnsiTheme="minorHAnsi" w:cs="Calibri"/>
          <w:sz w:val="18"/>
          <w:szCs w:val="18"/>
        </w:rPr>
        <w:t xml:space="preserve"> </w:t>
      </w:r>
    </w:p>
  </w:footnote>
  <w:footnote w:id="3">
    <w:p w:rsidR="00C746C2" w:rsidRDefault="00094EB0">
      <w:pPr>
        <w:pStyle w:val="normal0"/>
        <w:spacing w:line="240" w:lineRule="auto"/>
      </w:pPr>
      <w:r w:rsidRPr="00C250C4">
        <w:rPr>
          <w:rFonts w:asciiTheme="minorHAnsi" w:hAnsiTheme="minorHAnsi"/>
          <w:sz w:val="18"/>
          <w:szCs w:val="18"/>
          <w:vertAlign w:val="superscript"/>
        </w:rPr>
        <w:footnoteRef/>
      </w:r>
      <w:r w:rsidRPr="00C250C4">
        <w:rPr>
          <w:rFonts w:asciiTheme="minorHAnsi" w:hAnsiTheme="minorHAnsi"/>
          <w:sz w:val="18"/>
          <w:szCs w:val="18"/>
        </w:rPr>
        <w:t xml:space="preserve"> Tsilly Dagan: BRICS- The Potential of Cooperation</w:t>
      </w:r>
    </w:p>
  </w:footnote>
  <w:footnote w:id="4">
    <w:p w:rsidR="00C746C2" w:rsidRDefault="00094EB0">
      <w:pPr>
        <w:pStyle w:val="normal0"/>
        <w:spacing w:line="240" w:lineRule="auto"/>
      </w:pPr>
      <w:r>
        <w:rPr>
          <w:vertAlign w:val="superscript"/>
        </w:rPr>
        <w:footnoteRef/>
      </w:r>
      <w:r>
        <w:rPr>
          <w:sz w:val="20"/>
          <w:szCs w:val="20"/>
        </w:rPr>
        <w:t xml:space="preserve"> </w:t>
      </w:r>
      <w:r>
        <w:rPr>
          <w:rFonts w:ascii="Calibri" w:eastAsia="Calibri" w:hAnsi="Calibri" w:cs="Calibri"/>
          <w:sz w:val="18"/>
          <w:szCs w:val="18"/>
        </w:rPr>
        <w:t>http://www.imf.org/external/np/fad/itd/2002/031302.htm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3BD3"/>
    <w:multiLevelType w:val="multilevel"/>
    <w:tmpl w:val="958C9B1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7410"/>
  </w:hdrShapeDefaults>
  <w:footnotePr>
    <w:footnote w:id="-1"/>
    <w:footnote w:id="0"/>
  </w:footnotePr>
  <w:endnotePr>
    <w:endnote w:id="-1"/>
    <w:endnote w:id="0"/>
  </w:endnotePr>
  <w:compat/>
  <w:rsids>
    <w:rsidRoot w:val="00C746C2"/>
    <w:rsid w:val="0008708E"/>
    <w:rsid w:val="00092A0F"/>
    <w:rsid w:val="00094EB0"/>
    <w:rsid w:val="000B1295"/>
    <w:rsid w:val="000C48DC"/>
    <w:rsid w:val="000E35AC"/>
    <w:rsid w:val="001637CB"/>
    <w:rsid w:val="001744E9"/>
    <w:rsid w:val="001E6729"/>
    <w:rsid w:val="001E7451"/>
    <w:rsid w:val="002076DF"/>
    <w:rsid w:val="002A329E"/>
    <w:rsid w:val="002F11E2"/>
    <w:rsid w:val="00302442"/>
    <w:rsid w:val="003269BC"/>
    <w:rsid w:val="00330496"/>
    <w:rsid w:val="003C344B"/>
    <w:rsid w:val="003F67B1"/>
    <w:rsid w:val="004E44F6"/>
    <w:rsid w:val="004F63EF"/>
    <w:rsid w:val="005204B2"/>
    <w:rsid w:val="00556EA5"/>
    <w:rsid w:val="00641571"/>
    <w:rsid w:val="00661014"/>
    <w:rsid w:val="00686419"/>
    <w:rsid w:val="006D2A79"/>
    <w:rsid w:val="006F102C"/>
    <w:rsid w:val="0075287E"/>
    <w:rsid w:val="00795B9B"/>
    <w:rsid w:val="007A34D2"/>
    <w:rsid w:val="007C6988"/>
    <w:rsid w:val="007F24C0"/>
    <w:rsid w:val="008028E3"/>
    <w:rsid w:val="00804C69"/>
    <w:rsid w:val="008F7AC6"/>
    <w:rsid w:val="0093411B"/>
    <w:rsid w:val="00950E4E"/>
    <w:rsid w:val="009A4A4B"/>
    <w:rsid w:val="009B3F47"/>
    <w:rsid w:val="009E4C71"/>
    <w:rsid w:val="009F4D47"/>
    <w:rsid w:val="00A81982"/>
    <w:rsid w:val="00A94D63"/>
    <w:rsid w:val="00AB72BC"/>
    <w:rsid w:val="00AC7F01"/>
    <w:rsid w:val="00B15D0A"/>
    <w:rsid w:val="00B822ED"/>
    <w:rsid w:val="00BC4720"/>
    <w:rsid w:val="00C11AF0"/>
    <w:rsid w:val="00C250C4"/>
    <w:rsid w:val="00C72ED2"/>
    <w:rsid w:val="00C746C2"/>
    <w:rsid w:val="00C934F9"/>
    <w:rsid w:val="00CD1586"/>
    <w:rsid w:val="00D214A0"/>
    <w:rsid w:val="00D61E6E"/>
    <w:rsid w:val="00D80B98"/>
    <w:rsid w:val="00D846FA"/>
    <w:rsid w:val="00D860EB"/>
    <w:rsid w:val="00DB79C3"/>
    <w:rsid w:val="00DE7088"/>
    <w:rsid w:val="00E04794"/>
    <w:rsid w:val="00E07EC0"/>
    <w:rsid w:val="00E528DE"/>
    <w:rsid w:val="00EB701C"/>
    <w:rsid w:val="00EC38B4"/>
    <w:rsid w:val="00F81D4C"/>
    <w:rsid w:val="00FE0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C0"/>
  </w:style>
  <w:style w:type="paragraph" w:styleId="Heading1">
    <w:name w:val="heading 1"/>
    <w:basedOn w:val="normal0"/>
    <w:next w:val="normal0"/>
    <w:rsid w:val="00C746C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C746C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746C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746C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746C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746C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46C2"/>
  </w:style>
  <w:style w:type="paragraph" w:styleId="Title">
    <w:name w:val="Title"/>
    <w:basedOn w:val="normal0"/>
    <w:next w:val="normal0"/>
    <w:rsid w:val="00C746C2"/>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C746C2"/>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DE7088"/>
    <w:rPr>
      <w:sz w:val="16"/>
      <w:szCs w:val="16"/>
    </w:rPr>
  </w:style>
  <w:style w:type="paragraph" w:styleId="CommentText">
    <w:name w:val="annotation text"/>
    <w:basedOn w:val="Normal"/>
    <w:link w:val="CommentTextChar"/>
    <w:uiPriority w:val="99"/>
    <w:semiHidden/>
    <w:unhideWhenUsed/>
    <w:rsid w:val="00DE7088"/>
    <w:pPr>
      <w:spacing w:line="240" w:lineRule="auto"/>
    </w:pPr>
    <w:rPr>
      <w:sz w:val="20"/>
      <w:szCs w:val="20"/>
    </w:rPr>
  </w:style>
  <w:style w:type="character" w:customStyle="1" w:styleId="CommentTextChar">
    <w:name w:val="Comment Text Char"/>
    <w:basedOn w:val="DefaultParagraphFont"/>
    <w:link w:val="CommentText"/>
    <w:uiPriority w:val="99"/>
    <w:semiHidden/>
    <w:rsid w:val="00DE7088"/>
    <w:rPr>
      <w:sz w:val="20"/>
      <w:szCs w:val="20"/>
    </w:rPr>
  </w:style>
  <w:style w:type="paragraph" w:styleId="CommentSubject">
    <w:name w:val="annotation subject"/>
    <w:basedOn w:val="CommentText"/>
    <w:next w:val="CommentText"/>
    <w:link w:val="CommentSubjectChar"/>
    <w:uiPriority w:val="99"/>
    <w:semiHidden/>
    <w:unhideWhenUsed/>
    <w:rsid w:val="00DE7088"/>
    <w:rPr>
      <w:b/>
      <w:bCs/>
    </w:rPr>
  </w:style>
  <w:style w:type="character" w:customStyle="1" w:styleId="CommentSubjectChar">
    <w:name w:val="Comment Subject Char"/>
    <w:basedOn w:val="CommentTextChar"/>
    <w:link w:val="CommentSubject"/>
    <w:uiPriority w:val="99"/>
    <w:semiHidden/>
    <w:rsid w:val="00DE7088"/>
    <w:rPr>
      <w:b/>
      <w:bCs/>
    </w:rPr>
  </w:style>
  <w:style w:type="paragraph" w:styleId="BalloonText">
    <w:name w:val="Balloon Text"/>
    <w:basedOn w:val="Normal"/>
    <w:link w:val="BalloonTextChar"/>
    <w:uiPriority w:val="99"/>
    <w:semiHidden/>
    <w:unhideWhenUsed/>
    <w:rsid w:val="00DE70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88"/>
    <w:rPr>
      <w:rFonts w:ascii="Tahoma" w:hAnsi="Tahoma" w:cs="Tahoma"/>
      <w:sz w:val="16"/>
      <w:szCs w:val="16"/>
    </w:rPr>
  </w:style>
  <w:style w:type="character" w:styleId="Hyperlink">
    <w:name w:val="Hyperlink"/>
    <w:basedOn w:val="DefaultParagraphFont"/>
    <w:uiPriority w:val="99"/>
    <w:unhideWhenUsed/>
    <w:rsid w:val="00D61E6E"/>
    <w:rPr>
      <w:color w:val="0000FF" w:themeColor="hyperlink"/>
      <w:u w:val="single"/>
    </w:rPr>
  </w:style>
  <w:style w:type="paragraph" w:styleId="Header">
    <w:name w:val="header"/>
    <w:basedOn w:val="Normal"/>
    <w:link w:val="HeaderChar"/>
    <w:uiPriority w:val="99"/>
    <w:unhideWhenUsed/>
    <w:rsid w:val="008028E3"/>
    <w:pPr>
      <w:tabs>
        <w:tab w:val="center" w:pos="4513"/>
        <w:tab w:val="right" w:pos="9026"/>
      </w:tabs>
      <w:spacing w:line="240" w:lineRule="auto"/>
    </w:pPr>
  </w:style>
  <w:style w:type="character" w:customStyle="1" w:styleId="HeaderChar">
    <w:name w:val="Header Char"/>
    <w:basedOn w:val="DefaultParagraphFont"/>
    <w:link w:val="Header"/>
    <w:uiPriority w:val="99"/>
    <w:rsid w:val="008028E3"/>
  </w:style>
  <w:style w:type="paragraph" w:styleId="Footer">
    <w:name w:val="footer"/>
    <w:basedOn w:val="Normal"/>
    <w:link w:val="FooterChar"/>
    <w:uiPriority w:val="99"/>
    <w:semiHidden/>
    <w:unhideWhenUsed/>
    <w:rsid w:val="008028E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028E3"/>
  </w:style>
  <w:style w:type="paragraph" w:customStyle="1" w:styleId="CompanyInfo">
    <w:name w:val="Company Info"/>
    <w:basedOn w:val="Normal"/>
    <w:rsid w:val="008028E3"/>
    <w:pPr>
      <w:keepLines/>
      <w:spacing w:line="200" w:lineRule="atLeast"/>
    </w:pPr>
    <w:rPr>
      <w:rFonts w:eastAsia="Times New Roman" w:cs="Times New Roman"/>
      <w:color w:val="auto"/>
      <w:spacing w:val="-2"/>
      <w:sz w:val="16"/>
      <w:szCs w:val="20"/>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77.org/statement/getstatement.php?id=120727" TargetMode="External"/><Relationship Id="rId13" Type="http://schemas.openxmlformats.org/officeDocument/2006/relationships/hyperlink" Target="http://www.g77.org/statement/getstatement.php?id=1305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77.org/statement/getstatement.php?id=1305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esa/ffd/wp-content/uploads/2015/04/2015esm-SouthAfri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77.org/statement/getstatement.php?id=120727" TargetMode="External"/><Relationship Id="rId5" Type="http://schemas.openxmlformats.org/officeDocument/2006/relationships/webSettings" Target="webSettings.xml"/><Relationship Id="rId15" Type="http://schemas.openxmlformats.org/officeDocument/2006/relationships/hyperlink" Target="http://www.un.org/esa/ffd/wp-content/uploads/2015/04/2015esm-SouthAfrica.pdf" TargetMode="External"/><Relationship Id="rId10" Type="http://schemas.openxmlformats.org/officeDocument/2006/relationships/hyperlink" Target="http://www.g77.org/statement/getstatement.php?id=120727" TargetMode="External"/><Relationship Id="rId4" Type="http://schemas.openxmlformats.org/officeDocument/2006/relationships/settings" Target="settings.xml"/><Relationship Id="rId9" Type="http://schemas.openxmlformats.org/officeDocument/2006/relationships/hyperlink" Target="http://www.g77.org/statement/getstatement.php?id=110727C" TargetMode="External"/><Relationship Id="rId14" Type="http://schemas.openxmlformats.org/officeDocument/2006/relationships/hyperlink" Target="http://www.un.org/esa/ffd/wp-content/uploads/2014/09/ICTM2014_StatementG77Chin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cd.org/ctp/co-chair-summary-LACregional-consultation-BEPS.pdf" TargetMode="External"/><Relationship Id="rId2" Type="http://schemas.openxmlformats.org/officeDocument/2006/relationships/hyperlink" Target="http://www.oecd.org/ctp/Co-chairs-summary-Seoul-2014.pdf" TargetMode="External"/><Relationship Id="rId1" Type="http://schemas.openxmlformats.org/officeDocument/2006/relationships/hyperlink" Target="http://en.brics201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F4679-4616-479F-95A1-5DF84596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29</cp:revision>
  <dcterms:created xsi:type="dcterms:W3CDTF">2015-07-01T05:10:00Z</dcterms:created>
  <dcterms:modified xsi:type="dcterms:W3CDTF">2015-07-01T15:44:00Z</dcterms:modified>
</cp:coreProperties>
</file>